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40329B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CD65CD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CD65CD" w:rsidRPr="00CD65CD">
        <w:rPr>
          <w:sz w:val="22"/>
          <w:szCs w:val="22"/>
        </w:rPr>
        <w:t>Ing. Aleš Čermák, PhD. MBA, ředitel</w:t>
      </w: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916D52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>NÁZEV PRÁVNICKÉ OSOBY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zapsaná 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rejstříku vedeném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3C47B3" w:rsidRPr="009E3CCC">
        <w:rPr>
          <w:sz w:val="22"/>
          <w:szCs w:val="22"/>
          <w:highlight w:val="green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 xml:space="preserve">pod/v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3C47B3">
        <w:rPr>
          <w:sz w:val="22"/>
          <w:szCs w:val="22"/>
        </w:rPr>
        <w:t xml:space="preserve">, </w:t>
      </w:r>
      <w:r w:rsidRPr="009E3CCC">
        <w:rPr>
          <w:sz w:val="22"/>
          <w:szCs w:val="22"/>
        </w:rPr>
        <w:t xml:space="preserve">za kterou jedná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Pr="009E3CCC" w:rsidRDefault="00AD3ECA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7B0BBF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7B0BBF">
        <w:rPr>
          <w:sz w:val="22"/>
          <w:szCs w:val="22"/>
        </w:rPr>
        <w:t xml:space="preserve">Tato smlouva je vyhotovena v 5 stejnopisech s platností originálu, přičemž oprávněný obdrží 3 stejnopisy, z nichž 1 bude s úředně ověřenými podpisy pro účely </w:t>
      </w:r>
      <w:r w:rsidR="00C41F1C" w:rsidRPr="007B0BBF">
        <w:rPr>
          <w:sz w:val="22"/>
          <w:szCs w:val="22"/>
        </w:rPr>
        <w:t>vkladu Smlouvy do katastru nemovitostí</w:t>
      </w:r>
      <w:r w:rsidRPr="007B0BBF">
        <w:rPr>
          <w:sz w:val="22"/>
          <w:szCs w:val="22"/>
        </w:rPr>
        <w:t>, a povinný obdrží 2 stejnopisy.</w:t>
      </w:r>
    </w:p>
    <w:p w:rsidR="00B13ECA" w:rsidRPr="00916D52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7B0BBF">
        <w:rPr>
          <w:sz w:val="22"/>
          <w:szCs w:val="22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916D52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0B1E58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 bere na vědomí, že oprávněný</w:t>
      </w:r>
      <w:r w:rsidRPr="007B0BBF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>
        <w:rPr>
          <w:sz w:val="22"/>
          <w:szCs w:val="22"/>
        </w:rPr>
        <w:t>oprávněného</w:t>
      </w:r>
      <w:r w:rsidRPr="007B0BBF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887811" w:rsidRPr="000B1E58">
        <w:rPr>
          <w:color w:val="000000" w:themeColor="text1"/>
          <w:sz w:val="22"/>
          <w:szCs w:val="22"/>
        </w:rPr>
        <w:t xml:space="preserve">. </w:t>
      </w:r>
    </w:p>
    <w:p w:rsidR="00887811" w:rsidRPr="000B1E58" w:rsidRDefault="007B0BBF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7B0BBF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oprávněný</w:t>
      </w:r>
      <w:r w:rsidRPr="007B0BBF">
        <w:rPr>
          <w:sz w:val="22"/>
          <w:szCs w:val="22"/>
        </w:rPr>
        <w:t xml:space="preserve"> ponese v souladu se zákonem o registru smluv či s interními předpisy </w:t>
      </w:r>
      <w:r>
        <w:rPr>
          <w:sz w:val="22"/>
          <w:szCs w:val="22"/>
        </w:rPr>
        <w:t>oprávněného</w:t>
      </w:r>
      <w:r w:rsidRPr="007B0BBF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>oprávněný</w:t>
      </w:r>
      <w:r w:rsidRPr="007B0BBF">
        <w:rPr>
          <w:sz w:val="22"/>
          <w:szCs w:val="22"/>
        </w:rPr>
        <w:t xml:space="preserve"> a tato smlouva nabývá účinnosti dnem uveřejnění v registru smluv dle zákona o registru smluv</w:t>
      </w:r>
      <w:r w:rsidR="00887811" w:rsidRPr="000B1E58">
        <w:rPr>
          <w:sz w:val="22"/>
          <w:szCs w:val="22"/>
        </w:rPr>
        <w:t>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CD65CD" w:rsidRDefault="00CD65CD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D65CD">
        <w:rPr>
          <w:sz w:val="22"/>
          <w:szCs w:val="22"/>
        </w:rPr>
        <w:t>Ing. Aleš Čermák, PhD. MBA,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  <w:bookmarkStart w:id="0" w:name="_GoBack"/>
      <w:bookmarkEnd w:id="0"/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29B" w:rsidRDefault="0040329B" w:rsidP="009945C9">
      <w:r>
        <w:separator/>
      </w:r>
    </w:p>
  </w:endnote>
  <w:endnote w:type="continuationSeparator" w:id="0">
    <w:p w:rsidR="0040329B" w:rsidRDefault="0040329B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F1" w:rsidRDefault="00321A4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40329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321A41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CD65CD">
          <w:rPr>
            <w:noProof/>
            <w:sz w:val="22"/>
            <w:szCs w:val="22"/>
          </w:rPr>
          <w:t>3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29B" w:rsidRDefault="0040329B" w:rsidP="009945C9">
      <w:r>
        <w:separator/>
      </w:r>
    </w:p>
  </w:footnote>
  <w:footnote w:type="continuationSeparator" w:id="0">
    <w:p w:rsidR="0040329B" w:rsidRDefault="0040329B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1A41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0329B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0BBF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00156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16D52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65CD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1041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336E1BCF-63F0-486E-A360-B8CD184A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1594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5</cp:revision>
  <dcterms:created xsi:type="dcterms:W3CDTF">2022-06-05T15:06:00Z</dcterms:created>
  <dcterms:modified xsi:type="dcterms:W3CDTF">2022-07-19T08:17:00Z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